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F26CD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F26CD">
              <w:rPr>
                <w:rFonts w:ascii="Times New Roman" w:hAnsi="Times New Roman" w:cs="Times New Roman"/>
                <w:iCs/>
              </w:rPr>
              <w:t>04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1F26CD">
              <w:rPr>
                <w:rFonts w:ascii="Times New Roman" w:hAnsi="Times New Roman" w:cs="Times New Roman"/>
                <w:iCs/>
              </w:rPr>
              <w:t>siječnja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</w:t>
            </w:r>
            <w:r w:rsidR="001F26CD">
              <w:rPr>
                <w:rFonts w:ascii="Times New Roman" w:hAnsi="Times New Roman" w:cs="Times New Roman"/>
                <w:iCs/>
              </w:rPr>
              <w:t>8</w:t>
            </w:r>
            <w:r w:rsidR="00E73B51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F75C1" w:rsidRPr="00CF7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Obnova i sanacija uličnog i dvorišnog pročelja na zgradi Šenoina ulica 8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CF75C1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3039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26CD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CF75C1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10</cp:revision>
  <cp:lastPrinted>2018-01-04T08:02:00Z</cp:lastPrinted>
  <dcterms:created xsi:type="dcterms:W3CDTF">2017-07-17T12:36:00Z</dcterms:created>
  <dcterms:modified xsi:type="dcterms:W3CDTF">2018-01-04T08:03:00Z</dcterms:modified>
</cp:coreProperties>
</file>